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spellStart"/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 xml:space="preserve">, учебно-исследовательскую, художественно-продуктивную, </w:t>
            </w:r>
            <w:proofErr w:type="spellStart"/>
            <w:r w:rsidR="002C749A" w:rsidRPr="001543DE">
              <w:rPr>
                <w:szCs w:val="24"/>
              </w:rPr>
              <w:t>культурно-досуговую</w:t>
            </w:r>
            <w:proofErr w:type="spellEnd"/>
            <w:r w:rsidR="002C749A" w:rsidRPr="001543DE">
              <w:rPr>
                <w:szCs w:val="24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Взаимодействие с другими специалистами в рамках </w:t>
            </w:r>
            <w:proofErr w:type="spellStart"/>
            <w:r w:rsidRPr="001543DE">
              <w:t>психолого-медико-педагогического</w:t>
            </w:r>
            <w:proofErr w:type="spellEnd"/>
            <w:r w:rsidRPr="001543DE">
              <w:t xml:space="preserve">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</w:t>
            </w:r>
            <w:proofErr w:type="spellStart"/>
            <w:r w:rsidR="005C0B0F" w:rsidRPr="001543DE">
              <w:rPr>
                <w:szCs w:val="24"/>
              </w:rPr>
              <w:t>ИКТ-компетентностями</w:t>
            </w:r>
            <w:proofErr w:type="spellEnd"/>
            <w:r w:rsidR="005C0B0F" w:rsidRPr="001543DE">
              <w:rPr>
                <w:szCs w:val="24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="00EE0D93" w:rsidRPr="001543DE">
              <w:rPr>
                <w:szCs w:val="20"/>
              </w:rPr>
              <w:t>мультимедийным</w:t>
            </w:r>
            <w:proofErr w:type="spellEnd"/>
            <w:r w:rsidR="00EE0D93" w:rsidRPr="001543DE">
              <w:rPr>
                <w:szCs w:val="20"/>
              </w:rPr>
              <w:t xml:space="preserve">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spellStart"/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spellEnd"/>
            <w:proofErr w:type="gramEnd"/>
            <w:r w:rsidR="00B43BB7" w:rsidRPr="001543DE">
              <w:rPr>
                <w:szCs w:val="24"/>
              </w:rPr>
              <w:t xml:space="preserve"> и </w:t>
            </w:r>
            <w:proofErr w:type="spellStart"/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spellEnd"/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61A" w:rsidRDefault="009B161A" w:rsidP="0085401D">
      <w:pPr>
        <w:spacing w:line="240" w:lineRule="auto"/>
      </w:pPr>
      <w:r>
        <w:separator/>
      </w:r>
    </w:p>
    <w:p w:rsidR="009B161A" w:rsidRDefault="009B161A"/>
  </w:endnote>
  <w:endnote w:type="continuationSeparator" w:id="0">
    <w:p w:rsidR="009B161A" w:rsidRDefault="009B161A" w:rsidP="0085401D">
      <w:pPr>
        <w:spacing w:line="240" w:lineRule="auto"/>
      </w:pPr>
      <w:r>
        <w:continuationSeparator/>
      </w:r>
    </w:p>
    <w:p w:rsidR="009B161A" w:rsidRDefault="009B161A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7F4279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61A" w:rsidRDefault="009B161A" w:rsidP="0085401D">
      <w:pPr>
        <w:spacing w:line="240" w:lineRule="auto"/>
      </w:pPr>
      <w:r>
        <w:separator/>
      </w:r>
    </w:p>
    <w:p w:rsidR="009B161A" w:rsidRDefault="009B161A"/>
  </w:footnote>
  <w:footnote w:type="continuationSeparator" w:id="0">
    <w:p w:rsidR="009B161A" w:rsidRDefault="009B161A" w:rsidP="0085401D">
      <w:pPr>
        <w:spacing w:line="240" w:lineRule="auto"/>
      </w:pPr>
      <w:r>
        <w:continuationSeparator/>
      </w:r>
    </w:p>
    <w:p w:rsidR="009B161A" w:rsidRDefault="009B16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7F4279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7F4279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E15DE9" w:rsidRPr="00E15DE9">
      <w:rPr>
        <w:noProof/>
      </w:rPr>
      <w:t>16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7F4279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E15DE9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279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B161A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5DE9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B561F-5C29-4360-9DAC-FED40CA8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Nastroika</cp:lastModifiedBy>
  <cp:revision>2</cp:revision>
  <cp:lastPrinted>2013-10-21T09:40:00Z</cp:lastPrinted>
  <dcterms:created xsi:type="dcterms:W3CDTF">2017-04-07T09:03:00Z</dcterms:created>
  <dcterms:modified xsi:type="dcterms:W3CDTF">2017-04-07T09:03:00Z</dcterms:modified>
</cp:coreProperties>
</file>